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125</w:t>
      </w:r>
    </w:p>
    <w:p>
      <w:r>
        <w:t>Bundesgericht (BGE), 1995-02-15, DE</w:t>
      </w:r>
    </w:p>
    <w:p>
      <w:r>
        <w:rPr>
          <w:b/>
        </w:rPr>
        <w:t xml:space="preserve">Quelle: </w:t>
      </w:r>
      <w:r>
        <w:t>https://mcp.opencaselaw.ch/entscheid/bge_121 V 125</w:t>
      </w:r>
    </w:p>
    <w:p>
      <w:r>
        <w:t>FR: ATF 121 V 125</w:t>
      </w:r>
    </w:p>
    <w:p>
      <w:r>
        <w:t>IT: DTF 121 V 125</w:t>
      </w:r>
    </w:p>
    <w:p>
      <w:pPr>
        <w:pStyle w:val="Heading2"/>
      </w:pPr>
      <w:r>
        <w:t>Regeste</w:t>
      </w:r>
    </w:p>
    <w:p>
      <w:r>
        <w:t>Regeste Art. 15 Abs. 3 lit. c UVG, Art. 22 Abs. 2 lit. c UVV, Art. 90 ff. ZGB. Der Begriff "mitarbeitende Familienglieder", wie er u.a. in Art. 22 Abs. 2 lit. c UVV verwendet wird, umfasst nur die Mitglieder der Familie im familienrechtlichen Sinn des ZGB. Das Verlöbnis - als quasifamiliäres Rechtsverhältnis - oder das Konkubinat begründet keine Mitgliedschaft in der Familie.</w:t>
      </w:r>
    </w:p>
    <w:p>
      <w:pPr>
        <w:pStyle w:val="Heading2"/>
      </w:pPr>
      <w:r>
        <w:t>Erwägungen</w:t>
      </w:r>
    </w:p>
    <w:p>
      <w:r>
        <w:rPr>
          <w:b/>
        </w:rPr>
        <w:t>E. 2</w:t>
      </w:r>
    </w:p>
    <w:p>
      <w:r>
        <w:t>... 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BGE 121 V 125 S. 127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Ia 248 Erw. 7a, BGE 119 II 151 Erw. 3b, 355 Erw. 5, BGE 119 V 126 Erw. 4, 204 Erw. 5c, 274 Erw. 3a, 429 Erw. 5a, BGE 118 Ib 191 Erw. 5a, 452 Erw. 3c, 555 Erw. 4d, BGE 118 II 342 Erw. 3e, je mit Hinweisen; IMBODEN/RHINOW/KRÄHENMANN, Schweizerische Verwaltungsrechtsprechung, Nr. 21 B IV). aa) Die Verordnung spricht von mitarbeitenden "Familiengliedern", "les membres de la famille" de l'employeur travaillant dans l'entreprise und "i familiari" del datore di lavoro collaboranti nell'azienda. Bei der Frage, welcher Gehalt diesen Begriffen zukommt, ist der Grundsatz zu beachten, dass das Familienrecht (und mithin seine Regelung über das Verlöbnis [ Art. 90-95 ZGB ]) eine Ordnung darstellt, die von der Sozialversicherung vorausgesetzt wird und dieser daher grundsätzlich vorgeht. Dabei entspricht es konstanter Rechtsprechung, dass der Gesetzgeber, wenn er im Sozialversicherungsrecht Regelungen mit Anknüpfung an familienrechtliche Sachverhalte (beispielsweise an der Ehe, der Verwandtschaft oder der Vormundschaft) trifft, von ihrer Bedeutung her, vorbehältlich gegenteiliger Anordnung, diejenigen Institute - und nur diese - im Blickfeld hat, die das Familienrecht kennt ( BGE 119 V 429 Erw. 5b und 430 Erw. 6, BGE 117 V 292 Erw. 3c, BGE 112 V 102 Erw. 2b, BGE 102 V 37 mit Hinweisen). bb) Anknüpfungen an familienrechtliche Begriffe kommen im Sozialversicherungsrecht ausserordentlich häufig vor (vgl. hiezu RIEMER, Berührungspunkte zwischen Sozialversicherungs- und Privatrecht, insbesondere die Bedeutung des Privatrechts bei der Auslegung des Sozialversicherungsrechtes durch das EVG, in Sozialversicherungsrecht im Wandel, Festschrift 75 Jahre EVG, Bern 1992, S. 147 ff.). Der Begriff "Familienglied" findet sich in Erlassen nahezu aller Sparten der Sozialversicherung (vgl. z.B. Art. 3 Abs. 2 lit. d AHVG , Art. 5 Abs. 3 AHVG , Art. 14 AHVV [diese Bestimmungen sind über die Verweisnorm in Art. 2 IVG teilweise auch in der Invalidenversicherung gültig], Art. 9 ELV , Art. 1 Abs. 1 lit. e BVV2, Art. 4 Abs. 1 UVG , Art. 22 Abs. 2 lit. c UVV , Art. 1 Abs. 2 FLG , Art. 3 Abs. 1 FLV , Art. 2 Abs. 2 lit. b AVIG ). Die französische BGE 121 V 125 S. 128 Fassung dieser Gesetzesartikel spricht einheitlich von "membres de la famille", in ihrer italienischen Fassung findet sich neben dem Begriff "familiari" auch jener der "membri della famiglia". Im Krankenversicherungsrecht werden Ausdrücke wie "Familienangehörige", "des familles" und "appartenendo alla famiglia" verwendet (vgl. z.B. Art. 6bis Abs. 3 KUVG , Art. 7 Abs. 1 lit. c KUVG ). Wen der Begriff konkret anspricht, lässt sich den Bestimmungen nicht entnehmen; vereinzelt (etwa in Art. 1 Abs. 2 lit. a und b FLG ) werden - eigentlich zur Familie gehörende - Personen(gruppen) davon ausgenommen. cc) Das Eidg. Versicherungsgericht hat dem erwähnten (Erw. 2c/aa) Grundsatz, wonach das Familienrecht für das Sozialversicherungsrecht Voraussetzung ist und diesem daher - vorbehältlich anderer Regelung - grundsätzlich vorgeht, in seiner Rechtsprechung stets Rechnung getragen ( BGE 119 V 491 Erw. 4, BGE 118 V 32 Erw. 4b, BGE 116 V 237 Erw. 4a, BGE 115 V 13 Erw. 3a, BGE 115 V 320 Erw. 1b). Hievon abzuweichen besteht vorliegendenfalls kein Anlass. Der Begriff "Familie" kann familienrechtlich enger oder weiter verstanden werden, beispielsweise im Sinne einer Kleinfamilie (bestehend aus Ehefrau, Ehemann und ihren Kindern im gemeinsamen Haushalt) oder, ganz anders, im Sinne der Sippe (bestehend aus einer eine Vielzahl solcher Kleinfamilien umfassenden Gruppe von Menschen mit gemeinsamer Abstammung [Verwandtschaft, Schwägerschaft]). Das ZGB regelt die Familie über das ihre Grundlage bildende Element der Ehe und das diese erweiternde Element der Verwandtschaft, welche sich insbesondere im Hinzutreten von gemeinsamen Kindern (allenfalls Adoptions- und Pflegekindern) in den Haushalt der Ehegatten verwirklicht (TUOR/SCHNYDER, Das Schweizerische Zivilgesetzbuch, 10. Aufl., Zürich 1986, S. 141; MAHON, Kommentar BV, Art. 34quinquies, N. 35 ff.; LÜCHINGER, Begriff und Bedeutung der Familie im schweizerischen Recht, Diss. Zürich 1987, S. 3). Die eheähnliche Lebensgemeinschaft, das Konkubinat, ist im ZGB nicht geregelt. Sie wird, sofern aus ihr Kinder hervorgegangen sind, einzig über das Kindesverhältnis familienrechtlich erfasst. Das Kindesverhältnis aber ist, wegen der fehlenden Ehe der Eltern, kein gemeinschaftliches (LÜCHINGER, a.a.O., S. 13). Indessen findet sich das Verlöbnis im ZGB geregelt. Nach schweizerischer Rechtsauffassung stellt es einen familienrechtlichen Konsensualvertrag dar, welcher allerdings keinen einklagbaren Anspruch auf Erfüllung, also auf den Abschluss der Ehe einräumt, immerhin aber einen "rapport quasi familial" begründet BGE 121 V 125 S. 129 (TUOR/SCHNYDER, a.a.O., S. 143 ff., DESCHENAUX/TERCIER, Le mariage et le divorce, 3. Aufl., Bern 1985, S. 33 f.). Abgesehen von gewissen prozessrechtlichen Folgen (z.B. Ausschliessungsgrund [Art. 22 Abs. 1 lit. a in Verbindung mit Art. 4 Abs. 1 OG ], Zeugnisverweigerungsgrund [ Art. 75 BStP ], Amtshandlungsverbot [ Art. 10 Abs. 1 Ziff. 1 SchKG ]) entfaltet das Verlöbnis rechtsverbindliche Wirkungen - nach unumstrittener Auffassung und nur unter bestimmten Voraussetzungen - lediglich für den Fall, dass es gebrochen wird. Es zielt zwar auf den Eheschluss ab, stellt aber insbesondere keine Ehe dar und kann für sich allein nicht als Familie bezeichnet werden (LÜCHINGER, a.a.O., S. 14). dd) Seitens des Familienrechts ist nach dem Gesagten für den Begriff "Familie" der formelle Eheschluss qualitativ entscheidend, sei es, um sie selbst zu begründen, sei es, um verwandtschaftlich rechtsverbindliche Beziehungen zu ihr zu knüpfen. Mit diesem familienrechtlichen Gehalt ist der Familienbegriff für das Sozialversicherungsrecht vorausgesetzt und für dieses - immer vorbehältlich anderslautender Regelung - verbindlich. Findet im Sozialversicherungsrecht, wie eben beispielsweise im Art. 22 Abs. 2 lit. c UVV ein dem Familienrecht entstammender Begriff ("Familienglieder", "les membres de la famille", "i familiari") Verwendung, kann bei dessen Auslegung der familienrechtliche Gehalt nicht unberücksichtigt bleiben. Deshalb geht es nicht an, eine mit einem Familienglied verlobte oder in eheähnlicher Gemeinschaft lebende Person sozialversicherungsrechtlich als der Familie zugehörig zu betrachten, wenn dies in der anzuwendenden Regelung nicht ausdrücklich vorgesehen ist. Der Auslegung zugänglich sind somit lediglich Fragen, welche den mit dem Begriff "Familienglieder", "les membres de la famille" bzw. "i familiari" abgedeckten Verwandtschafts- oder Verschwägerungsgrad betreffen, oder ob er beispielsweise auch Pflegekinder umfasst oder nicht. Eine solche Frage stellt sich indessen im vorliegenden Fall nicht. Da die Versicherte im Zeitpunkt des Versicherungsfalls weder als Konkubinatspartnerin noch als Verlobte ein Familienglied der Versicherungsnehmerin war, verbietet sich eine Anwendung von Art. 22 Abs. 2 lit. c UVV . Dies führt zur entsprechenden Gutheissung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